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F54E1" w14:textId="53539597" w:rsidR="00D3061F"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BB7BE1" w:rsidRPr="00507712">
        <w:rPr>
          <w:rFonts w:ascii="Calibri" w:hAnsi="Calibri" w:cs="Calibri"/>
          <w:b/>
          <w:bCs/>
          <w:sz w:val="22"/>
          <w:szCs w:val="22"/>
        </w:rPr>
        <w:t>..</w:t>
      </w:r>
      <w:r w:rsidRPr="00507712">
        <w:rPr>
          <w:rFonts w:ascii="Calibri" w:hAnsi="Calibri" w:cs="Calibri"/>
          <w:b/>
          <w:bCs/>
          <w:sz w:val="22"/>
          <w:szCs w:val="22"/>
        </w:rPr>
        <w:t>/IN/20</w:t>
      </w:r>
      <w:r w:rsidR="00FF5265" w:rsidRPr="00507712">
        <w:rPr>
          <w:rFonts w:ascii="Calibri" w:hAnsi="Calibri" w:cs="Calibri"/>
          <w:b/>
          <w:bCs/>
          <w:sz w:val="22"/>
          <w:szCs w:val="22"/>
        </w:rPr>
        <w:t>2</w:t>
      </w:r>
      <w:r w:rsidR="00BB7BE1" w:rsidRPr="00507712">
        <w:rPr>
          <w:rFonts w:ascii="Calibri" w:hAnsi="Calibri" w:cs="Calibri"/>
          <w:b/>
          <w:bCs/>
          <w:sz w:val="22"/>
          <w:szCs w:val="22"/>
        </w:rPr>
        <w:t>1</w:t>
      </w:r>
      <w:r w:rsidRPr="00507712">
        <w:rPr>
          <w:rFonts w:ascii="Calibri" w:hAnsi="Calibri" w:cs="Calibri"/>
          <w:b/>
          <w:bCs/>
          <w:sz w:val="22"/>
          <w:szCs w:val="22"/>
        </w:rPr>
        <w:br/>
        <w:t>w sprawie wykonania robót budowlanych</w:t>
      </w:r>
    </w:p>
    <w:p w14:paraId="2F180C96" w14:textId="77777777" w:rsidR="00C31987" w:rsidRPr="00507712" w:rsidRDefault="00C31987" w:rsidP="00EB24C7">
      <w:pPr>
        <w:spacing w:line="288" w:lineRule="auto"/>
        <w:jc w:val="center"/>
        <w:rPr>
          <w:rFonts w:ascii="Calibri" w:hAnsi="Calibri" w:cs="Calibri"/>
          <w:b/>
          <w:bCs/>
          <w:sz w:val="22"/>
          <w:szCs w:val="22"/>
        </w:rPr>
      </w:pPr>
    </w:p>
    <w:p w14:paraId="48A7AFF5" w14:textId="56D6652C"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BB7BE1" w:rsidRPr="00507712">
        <w:rPr>
          <w:rFonts w:ascii="Calibri" w:hAnsi="Calibri" w:cs="Calibri"/>
          <w:b w:val="0"/>
          <w:bCs w:val="0"/>
          <w:color w:val="auto"/>
          <w:sz w:val="22"/>
          <w:szCs w:val="22"/>
        </w:rPr>
        <w:t>………………..</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43534516"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A06ED1" w:rsidRPr="00507712">
        <w:rPr>
          <w:rFonts w:ascii="Calibri" w:hAnsi="Calibri"/>
          <w:snapToGrid w:val="0"/>
          <w:color w:val="auto"/>
          <w:sz w:val="22"/>
          <w:szCs w:val="22"/>
        </w:rPr>
        <w:t xml:space="preserve">17 379 000,00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77777777" w:rsidR="00D3061F" w:rsidRPr="00507712" w:rsidRDefault="000B120E" w:rsidP="00363653">
      <w:pPr>
        <w:rPr>
          <w:rFonts w:ascii="Calibri" w:hAnsi="Calibri" w:cs="Calibri"/>
          <w:b/>
          <w:bCs/>
          <w:sz w:val="22"/>
          <w:szCs w:val="22"/>
          <w:lang w:eastAsia="en-US"/>
        </w:rPr>
      </w:pPr>
      <w:r w:rsidRPr="00507712">
        <w:rPr>
          <w:rFonts w:ascii="Calibri" w:hAnsi="Calibri" w:cs="Calibri"/>
          <w:b/>
          <w:bCs/>
          <w:sz w:val="22"/>
          <w:szCs w:val="22"/>
          <w:lang w:eastAsia="en-US"/>
        </w:rPr>
        <w:t>Marcina Leśniak – Prezesa Zarządu</w:t>
      </w:r>
    </w:p>
    <w:p w14:paraId="7529423F"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4ADF512A"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a</w:t>
      </w:r>
    </w:p>
    <w:p w14:paraId="5F505EA2"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6E698A38"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zleca, a Wykonawca przyjmuje do wykonania roboty budowlane składające się na realizację zadania pod nazwą: </w:t>
      </w:r>
      <w:r w:rsidRPr="00507712">
        <w:rPr>
          <w:rFonts w:ascii="Calibri" w:hAnsi="Calibri" w:cs="Calibri"/>
          <w:b/>
          <w:snapToGrid w:val="0"/>
          <w:sz w:val="22"/>
          <w:szCs w:val="22"/>
        </w:rPr>
        <w:t>„………………………………………………………..</w:t>
      </w:r>
      <w:r w:rsidRPr="00507712">
        <w:rPr>
          <w:rFonts w:ascii="Calibri" w:hAnsi="Calibri"/>
          <w:b/>
          <w:bCs/>
        </w:rPr>
        <w:t xml:space="preserve">. </w:t>
      </w:r>
      <w:r w:rsidRPr="00507712">
        <w:rPr>
          <w:rFonts w:ascii="Calibri" w:hAnsi="Calibri" w:cs="Calibri"/>
          <w:snapToGrid w:val="0"/>
          <w:sz w:val="22"/>
          <w:szCs w:val="22"/>
        </w:rPr>
        <w:t>i polegające na budowie</w:t>
      </w:r>
      <w:r w:rsidRPr="00507712">
        <w:rPr>
          <w:rFonts w:ascii="Calibri" w:hAnsi="Calibri"/>
        </w:rPr>
        <w:t xml:space="preserve"> </w:t>
      </w:r>
      <w:r w:rsidRPr="00507712">
        <w:rPr>
          <w:rFonts w:ascii="Calibri" w:hAnsi="Calibri" w:cs="Calibri"/>
          <w:snapToGrid w:val="0"/>
          <w:sz w:val="22"/>
          <w:szCs w:val="22"/>
        </w:rPr>
        <w:t>………………………………………………., stanowiące przedmiot niniejszej umowy.</w:t>
      </w:r>
    </w:p>
    <w:p w14:paraId="68689CC3" w14:textId="2871F092"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D3061F" w:rsidRPr="00507712">
        <w:rPr>
          <w:rFonts w:ascii="Calibri" w:hAnsi="Calibri" w:cs="Calibri"/>
          <w:snapToGrid w:val="0"/>
          <w:sz w:val="22"/>
          <w:szCs w:val="22"/>
        </w:rPr>
        <w:t xml:space="preserve"> </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7A1CF584" w:rsidR="00C31987" w:rsidRPr="00507712"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0" w:name="_Hlk63856437"/>
      <w:r w:rsidRPr="00507712">
        <w:rPr>
          <w:rFonts w:ascii="Calibri" w:hAnsi="Calibri" w:cs="Calibri"/>
          <w:snapToGrid w:val="0"/>
          <w:sz w:val="22"/>
          <w:szCs w:val="22"/>
        </w:rPr>
        <w:t xml:space="preserve">i pisemne zgłoszenie przez Wykonawcę gotowości do odbioru kompletnego i wolnego od wad </w:t>
      </w:r>
      <w:bookmarkEnd w:id="0"/>
      <w:r w:rsidRPr="00507712">
        <w:rPr>
          <w:rFonts w:ascii="Calibri" w:hAnsi="Calibri" w:cs="Calibri"/>
          <w:snapToGrid w:val="0"/>
          <w:sz w:val="22"/>
          <w:szCs w:val="22"/>
        </w:rPr>
        <w:t xml:space="preserve">przedmiotu umowy nastąpi do dnia </w:t>
      </w:r>
      <w:r w:rsidR="00BB7BE1" w:rsidRPr="00507712">
        <w:rPr>
          <w:rFonts w:ascii="Calibri" w:hAnsi="Calibri" w:cs="Calibri"/>
          <w:snapToGrid w:val="0"/>
          <w:sz w:val="22"/>
          <w:szCs w:val="22"/>
        </w:rPr>
        <w:t>………</w:t>
      </w:r>
      <w:r w:rsidR="00F0031A" w:rsidRPr="00507712">
        <w:rPr>
          <w:rStyle w:val="FontStyle30"/>
          <w:rFonts w:ascii="Calibri" w:hAnsi="Calibri" w:cs="Calibri"/>
        </w:rPr>
        <w:t>.</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34F08636"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BB7BE1" w:rsidRPr="00507712">
        <w:rPr>
          <w:rFonts w:ascii="Calibri" w:hAnsi="Calibri" w:cs="Calibri"/>
          <w:sz w:val="22"/>
          <w:szCs w:val="22"/>
        </w:rPr>
        <w:t>……..</w:t>
      </w:r>
      <w:r w:rsidR="00AE24BB" w:rsidRPr="00507712">
        <w:rPr>
          <w:rFonts w:ascii="Calibri" w:hAnsi="Calibri" w:cs="Calibri"/>
          <w:sz w:val="22"/>
          <w:szCs w:val="22"/>
        </w:rPr>
        <w:t xml:space="preserve"> </w:t>
      </w:r>
      <w:r w:rsidRPr="00507712">
        <w:rPr>
          <w:rFonts w:ascii="Calibri" w:hAnsi="Calibri" w:cs="Calibri"/>
          <w:b/>
          <w:bCs/>
          <w:sz w:val="22"/>
          <w:szCs w:val="22"/>
        </w:rPr>
        <w:t>zł</w:t>
      </w:r>
      <w:r w:rsidR="00AA2C65" w:rsidRPr="00507712">
        <w:rPr>
          <w:rFonts w:ascii="Calibri" w:hAnsi="Calibri" w:cs="Calibri"/>
          <w:b/>
          <w:bCs/>
          <w:sz w:val="22"/>
          <w:szCs w:val="22"/>
        </w:rPr>
        <w:t xml:space="preserve"> </w:t>
      </w:r>
      <w:r w:rsidRPr="00507712">
        <w:rPr>
          <w:rFonts w:ascii="Calibri" w:hAnsi="Calibri" w:cs="Calibri"/>
          <w:sz w:val="22"/>
          <w:szCs w:val="22"/>
        </w:rPr>
        <w:t xml:space="preserve">(słownie: </w:t>
      </w:r>
      <w:r w:rsidR="00BB7BE1" w:rsidRPr="00507712">
        <w:rPr>
          <w:rFonts w:ascii="Calibri" w:hAnsi="Calibri" w:cs="Calibri"/>
          <w:sz w:val="22"/>
          <w:szCs w:val="22"/>
        </w:rPr>
        <w:t>…….</w:t>
      </w:r>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lastRenderedPageBreak/>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4F4BE542" w14:textId="77777777" w:rsidR="003F377C" w:rsidRPr="00507712" w:rsidRDefault="003F377C" w:rsidP="003F377C">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33E41023" w14:textId="77777777" w:rsidR="003F377C" w:rsidRPr="00507712" w:rsidRDefault="003F377C" w:rsidP="003F377C">
      <w:pPr>
        <w:pStyle w:val="Tekstpodstawowy"/>
        <w:spacing w:line="288" w:lineRule="auto"/>
        <w:ind w:right="0"/>
        <w:rPr>
          <w:rFonts w:ascii="Calibri" w:hAnsi="Calibri" w:cs="Calibri"/>
          <w:color w:val="auto"/>
          <w:sz w:val="22"/>
          <w:szCs w:val="22"/>
        </w:rPr>
      </w:pP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t xml:space="preserve">zabezpieczenia terenu budowy z zachowaniem najwyższej staranności i zapewnienia bezpieczeństwa osób znajdujących się na terenie budowy; </w:t>
      </w:r>
      <w:r w:rsidRPr="00507712">
        <w:rPr>
          <w:rStyle w:val="FontStyle13"/>
          <w:rFonts w:ascii="Calibri" w:hAnsi="Calibri" w:cs="Calibri"/>
        </w:rPr>
        <w:t>zabezpieczenia budowy przed 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lastRenderedPageBreak/>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udzielenia pisemnej gwarancji na okres 60 miesięcy od dnia odbioru robót na wykonanie przedmiotu umowy oraz minimum 60 miesięcy na zainstalowane oprawy oświetleniowe.</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lastRenderedPageBreak/>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19A554C9"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BB7BE1" w:rsidRPr="00507712">
        <w:rPr>
          <w:rFonts w:ascii="Calibri" w:hAnsi="Calibri" w:cs="Calibri"/>
          <w:color w:val="auto"/>
          <w:sz w:val="22"/>
          <w:szCs w:val="22"/>
        </w:rPr>
        <w:t>………..</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13F531A3"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407DF4E2" w14:textId="77777777" w:rsidR="00D3061F" w:rsidRPr="00507712" w:rsidRDefault="00D3061F" w:rsidP="00EB24C7">
      <w:pPr>
        <w:keepLines/>
        <w:spacing w:line="288" w:lineRule="auto"/>
        <w:ind w:right="195"/>
        <w:rPr>
          <w:rFonts w:ascii="Calibri" w:hAnsi="Calibri" w:cs="Calibri"/>
          <w:b/>
          <w:bCs/>
          <w:snapToGrid w:val="0"/>
          <w:sz w:val="22"/>
          <w:szCs w:val="22"/>
        </w:rPr>
      </w:pP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1" w:name="_Hlk63857277"/>
      <w:r w:rsidRPr="00507712">
        <w:rPr>
          <w:rFonts w:ascii="Calibri" w:hAnsi="Calibri" w:cs="Calibri"/>
          <w:snapToGrid w:val="0"/>
          <w:sz w:val="22"/>
          <w:szCs w:val="22"/>
        </w:rPr>
        <w:t>oraz w dokumentach wskazanych w §1 ust. 2 umowy.</w:t>
      </w:r>
      <w:bookmarkEnd w:id="1"/>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2" w:name="_Hlk63857461"/>
      <w:r w:rsidRPr="00507712">
        <w:rPr>
          <w:rFonts w:ascii="Calibri" w:hAnsi="Calibri" w:cs="Calibri"/>
          <w:snapToGrid w:val="0"/>
          <w:sz w:val="22"/>
          <w:szCs w:val="22"/>
        </w:rPr>
        <w:t>Dla zachowania tego terminu wystarczy złożenie przez Zamawiającego oświadczenia o rozpoczęciu czynności odbioru.</w:t>
      </w:r>
      <w:bookmarkEnd w:id="2"/>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3"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3"/>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4"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5" w:name="_Hlk63857866"/>
      <w:r w:rsidRPr="00507712">
        <w:rPr>
          <w:rFonts w:ascii="Calibri" w:hAnsi="Calibri" w:cs="Calibri"/>
          <w:snapToGrid w:val="0"/>
          <w:sz w:val="22"/>
          <w:szCs w:val="22"/>
        </w:rPr>
        <w:t>wynagrodzenie odpowiednio do stwierdzonych wad</w:t>
      </w:r>
      <w:bookmarkEnd w:id="5"/>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 xml:space="preserve">jeżeli wady uniemożliwiają użytkowanie zgodnie z przeznaczeniem, Zamawiający może </w:t>
      </w:r>
      <w:bookmarkStart w:id="6"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6"/>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lastRenderedPageBreak/>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7"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7"/>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8"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8"/>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572F27B2"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lastRenderedPageBreak/>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4C44737C" w14:textId="4712C968" w:rsidR="00D3061F" w:rsidRPr="00507712" w:rsidRDefault="00D3061F" w:rsidP="00FB2D61">
      <w:pPr>
        <w:spacing w:line="288" w:lineRule="auto"/>
        <w:jc w:val="center"/>
        <w:rPr>
          <w:rFonts w:ascii="Calibri" w:hAnsi="Calibri" w:cs="Calibri"/>
          <w:sz w:val="22"/>
          <w:szCs w:val="22"/>
        </w:rPr>
      </w:pPr>
      <w:r w:rsidRPr="00507712">
        <w:rPr>
          <w:rFonts w:ascii="Calibri" w:hAnsi="Calibri" w:cs="Calibri"/>
          <w:sz w:val="22"/>
          <w:szCs w:val="22"/>
        </w:rPr>
        <w:t>§8</w:t>
      </w:r>
    </w:p>
    <w:p w14:paraId="790F28FF" w14:textId="73CAABC2"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 xml:space="preserve">1. Wykonawca wnosi zabezpieczenie należytego wykonania umowy w wysokości </w:t>
      </w:r>
      <w:r w:rsidR="00BB7BE1" w:rsidRPr="00507712">
        <w:rPr>
          <w:rFonts w:ascii="Calibri" w:hAnsi="Calibri" w:cs="Calibri"/>
          <w:sz w:val="22"/>
          <w:szCs w:val="22"/>
        </w:rPr>
        <w:t>……</w:t>
      </w:r>
      <w:r w:rsidRPr="00507712">
        <w:rPr>
          <w:rFonts w:ascii="Calibri" w:hAnsi="Calibri" w:cs="Calibri"/>
          <w:sz w:val="22"/>
          <w:szCs w:val="22"/>
        </w:rPr>
        <w:t xml:space="preserve">% wynagrodzenia umownego brutto za przedmiot umowy tj. </w:t>
      </w:r>
      <w:r w:rsidR="00BB7BE1" w:rsidRPr="00507712">
        <w:rPr>
          <w:rFonts w:ascii="Calibri" w:hAnsi="Calibri" w:cs="Calibri"/>
          <w:sz w:val="22"/>
          <w:szCs w:val="22"/>
        </w:rPr>
        <w:t>……….</w:t>
      </w:r>
      <w:r w:rsidR="009B4BEB" w:rsidRPr="00507712">
        <w:rPr>
          <w:rFonts w:ascii="Calibri" w:hAnsi="Calibri" w:cs="Calibri"/>
          <w:b/>
          <w:sz w:val="22"/>
          <w:szCs w:val="22"/>
        </w:rPr>
        <w:t xml:space="preserve"> zł (słownie:</w:t>
      </w:r>
      <w:r w:rsidR="001109A8" w:rsidRPr="00507712">
        <w:rPr>
          <w:rFonts w:ascii="Calibri" w:hAnsi="Calibri" w:cs="Calibri"/>
          <w:b/>
          <w:sz w:val="22"/>
          <w:szCs w:val="22"/>
        </w:rPr>
        <w:t xml:space="preserve"> </w:t>
      </w:r>
      <w:r w:rsidR="00BB7BE1" w:rsidRPr="00507712">
        <w:rPr>
          <w:rFonts w:ascii="Calibri" w:hAnsi="Calibri" w:cs="Calibri"/>
          <w:b/>
          <w:sz w:val="22"/>
          <w:szCs w:val="22"/>
        </w:rPr>
        <w:t>…………..</w:t>
      </w:r>
      <w:r w:rsidRPr="00507712">
        <w:rPr>
          <w:rFonts w:ascii="Calibri" w:hAnsi="Calibri" w:cs="Calibri"/>
          <w:b/>
          <w:bCs/>
          <w:sz w:val="22"/>
          <w:szCs w:val="22"/>
        </w:rPr>
        <w:t>)</w:t>
      </w:r>
      <w:r w:rsidR="00C31987" w:rsidRPr="00507712">
        <w:rPr>
          <w:rFonts w:ascii="Calibri" w:hAnsi="Calibri" w:cs="Calibri"/>
          <w:sz w:val="22"/>
          <w:szCs w:val="22"/>
        </w:rPr>
        <w:t xml:space="preserve"> w formie </w:t>
      </w:r>
      <w:r w:rsidR="00BB7BE1" w:rsidRPr="00507712">
        <w:rPr>
          <w:rFonts w:ascii="Calibri" w:hAnsi="Calibri" w:cs="Calibri"/>
          <w:sz w:val="22"/>
          <w:szCs w:val="22"/>
        </w:rPr>
        <w:t>………….</w:t>
      </w:r>
      <w:r w:rsidR="00C31987" w:rsidRPr="00507712">
        <w:rPr>
          <w:rFonts w:ascii="Calibri" w:hAnsi="Calibri" w:cs="Calibri"/>
          <w:sz w:val="22"/>
          <w:szCs w:val="22"/>
        </w:rPr>
        <w:t>.</w:t>
      </w:r>
    </w:p>
    <w:p w14:paraId="55A4AD61" w14:textId="77777777"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14:paraId="299C4E10" w14:textId="77777777" w:rsidR="00D3061F" w:rsidRPr="00507712" w:rsidRDefault="00D3061F" w:rsidP="00327430">
      <w:pPr>
        <w:spacing w:line="288" w:lineRule="auto"/>
        <w:ind w:left="435"/>
        <w:jc w:val="both"/>
        <w:rPr>
          <w:rFonts w:ascii="Calibri" w:hAnsi="Calibri" w:cs="Calibri"/>
          <w:sz w:val="22"/>
          <w:szCs w:val="22"/>
        </w:rPr>
      </w:pPr>
    </w:p>
    <w:p w14:paraId="6C6B7DE6"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9</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262BED6" w14:textId="170C7F75" w:rsidR="005964B5" w:rsidRPr="00507712" w:rsidRDefault="005964B5"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możliwość kumulatywnego dochodzenia kar umownych należnych im z różnych tytułów. </w:t>
      </w:r>
    </w:p>
    <w:p w14:paraId="55826F8A" w14:textId="77777777" w:rsidR="005964B5" w:rsidRPr="00507712" w:rsidRDefault="005964B5" w:rsidP="005964B5">
      <w:pPr>
        <w:spacing w:line="288" w:lineRule="auto"/>
        <w:ind w:left="360"/>
        <w:jc w:val="both"/>
        <w:rPr>
          <w:rFonts w:ascii="Calibri" w:hAnsi="Calibri" w:cs="Calibri"/>
          <w:sz w:val="22"/>
          <w:szCs w:val="22"/>
        </w:rPr>
      </w:pPr>
    </w:p>
    <w:p w14:paraId="2850055D" w14:textId="77777777"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10</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w:t>
      </w:r>
      <w:r w:rsidRPr="00507712">
        <w:rPr>
          <w:rFonts w:ascii="Calibri" w:hAnsi="Calibri" w:cs="Calibri"/>
          <w:sz w:val="22"/>
          <w:szCs w:val="22"/>
        </w:rPr>
        <w:lastRenderedPageBreak/>
        <w:t>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lastRenderedPageBreak/>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z przyczyn leżących po stronie Wykonawcy i nie może stanowić podstawy do zmiany terminu 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77777777"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11</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9"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552"/>
      <w:bookmarkEnd w:id="9"/>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824"/>
      <w:bookmarkEnd w:id="10"/>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1"/>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2"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2"/>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61B06E3F" w14:textId="77777777" w:rsidR="00D3061F" w:rsidRPr="00507712" w:rsidRDefault="00D3061F" w:rsidP="00A2476D">
      <w:pPr>
        <w:ind w:right="45" w:firstLine="357"/>
        <w:jc w:val="center"/>
        <w:rPr>
          <w:rFonts w:ascii="Calibri" w:hAnsi="Calibri" w:cs="Calibri"/>
          <w:sz w:val="22"/>
          <w:szCs w:val="22"/>
        </w:rPr>
      </w:pPr>
    </w:p>
    <w:p w14:paraId="488263B8" w14:textId="77777777"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12</w:t>
      </w:r>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133155C2"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20D50670" w14:textId="77777777" w:rsidR="00C31987" w:rsidRPr="00507712" w:rsidRDefault="00C31987" w:rsidP="00EB24C7">
      <w:pPr>
        <w:spacing w:line="288" w:lineRule="auto"/>
        <w:jc w:val="both"/>
        <w:rPr>
          <w:rFonts w:ascii="Calibri" w:hAnsi="Calibri" w:cs="Calibri"/>
          <w:b/>
          <w:bCs/>
          <w:sz w:val="22"/>
          <w:szCs w:val="22"/>
        </w:rPr>
      </w:pPr>
    </w:p>
    <w:p w14:paraId="2764B4F4" w14:textId="77777777" w:rsidR="00C31987" w:rsidRPr="00507712" w:rsidRDefault="00C31987" w:rsidP="00EB24C7">
      <w:pPr>
        <w:spacing w:line="288" w:lineRule="auto"/>
        <w:jc w:val="both"/>
        <w:rPr>
          <w:rFonts w:ascii="Calibri" w:hAnsi="Calibri" w:cs="Calibri"/>
          <w:b/>
          <w:bCs/>
          <w:sz w:val="22"/>
          <w:szCs w:val="22"/>
        </w:rPr>
      </w:pPr>
    </w:p>
    <w:p w14:paraId="5D7ECC4E" w14:textId="77777777" w:rsidR="00D3061F" w:rsidRPr="00507712" w:rsidRDefault="00D3061F" w:rsidP="00185341">
      <w:pPr>
        <w:spacing w:line="288" w:lineRule="auto"/>
        <w:jc w:val="both"/>
        <w:rPr>
          <w:rFonts w:ascii="Calibri" w:hAnsi="Calibri" w:cs="Calibri"/>
          <w:sz w:val="16"/>
          <w:szCs w:val="16"/>
        </w:rPr>
      </w:pPr>
      <w:bookmarkStart w:id="13" w:name="_Hlk478455527"/>
      <w:r w:rsidRPr="00507712">
        <w:rPr>
          <w:rFonts w:ascii="Calibri" w:hAnsi="Calibri" w:cs="Calibri"/>
          <w:sz w:val="20"/>
          <w:szCs w:val="20"/>
        </w:rPr>
        <w:t xml:space="preserve">Sporządził: </w:t>
      </w:r>
      <w:bookmarkEnd w:id="13"/>
      <w:r w:rsidR="00AA2C65" w:rsidRPr="00507712">
        <w:rPr>
          <w:rFonts w:ascii="Calibri" w:hAnsi="Calibri" w:cs="Calibri"/>
          <w:sz w:val="20"/>
          <w:szCs w:val="20"/>
        </w:rPr>
        <w:t xml:space="preserve">Łukasz Ratajski </w:t>
      </w:r>
    </w:p>
    <w:sectPr w:rsidR="00D3061F" w:rsidRPr="00507712"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BAB0A" w14:textId="77777777" w:rsidR="005407E7" w:rsidRDefault="005407E7">
      <w:r>
        <w:separator/>
      </w:r>
    </w:p>
  </w:endnote>
  <w:endnote w:type="continuationSeparator" w:id="0">
    <w:p w14:paraId="183DB716" w14:textId="77777777" w:rsidR="005407E7" w:rsidRDefault="0054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8B935" w14:textId="77777777" w:rsidR="005407E7" w:rsidRDefault="005407E7">
      <w:r>
        <w:separator/>
      </w:r>
    </w:p>
  </w:footnote>
  <w:footnote w:type="continuationSeparator" w:id="0">
    <w:p w14:paraId="1ECCF542" w14:textId="77777777" w:rsidR="005407E7" w:rsidRDefault="00540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1E3348"/>
    <w:rsid w:val="00202A9D"/>
    <w:rsid w:val="0020470F"/>
    <w:rsid w:val="00205473"/>
    <w:rsid w:val="00211D3E"/>
    <w:rsid w:val="00213F86"/>
    <w:rsid w:val="002160C2"/>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64C8C"/>
    <w:rsid w:val="00864EEF"/>
    <w:rsid w:val="00875CA9"/>
    <w:rsid w:val="00877F7E"/>
    <w:rsid w:val="00881D1B"/>
    <w:rsid w:val="008838B1"/>
    <w:rsid w:val="00883AE8"/>
    <w:rsid w:val="0089391E"/>
    <w:rsid w:val="00896CF4"/>
    <w:rsid w:val="008A760D"/>
    <w:rsid w:val="008C3D6D"/>
    <w:rsid w:val="008D2A88"/>
    <w:rsid w:val="008D70D4"/>
    <w:rsid w:val="008E6E28"/>
    <w:rsid w:val="009022F5"/>
    <w:rsid w:val="0090674C"/>
    <w:rsid w:val="00927E86"/>
    <w:rsid w:val="009307C2"/>
    <w:rsid w:val="00933898"/>
    <w:rsid w:val="00941E93"/>
    <w:rsid w:val="00962191"/>
    <w:rsid w:val="00963A9E"/>
    <w:rsid w:val="00983C4B"/>
    <w:rsid w:val="00995823"/>
    <w:rsid w:val="009A1610"/>
    <w:rsid w:val="009B385F"/>
    <w:rsid w:val="009B4BEB"/>
    <w:rsid w:val="009B7212"/>
    <w:rsid w:val="009B7C1A"/>
    <w:rsid w:val="009C3858"/>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750D8"/>
    <w:rsid w:val="00A84EF9"/>
    <w:rsid w:val="00A85628"/>
    <w:rsid w:val="00A93818"/>
    <w:rsid w:val="00AA2C65"/>
    <w:rsid w:val="00AA346A"/>
    <w:rsid w:val="00AB34FD"/>
    <w:rsid w:val="00AC04D5"/>
    <w:rsid w:val="00AC6332"/>
    <w:rsid w:val="00AD586E"/>
    <w:rsid w:val="00AD726C"/>
    <w:rsid w:val="00AE24BB"/>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23B"/>
    <w:rsid w:val="00B64756"/>
    <w:rsid w:val="00B73466"/>
    <w:rsid w:val="00B7458A"/>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1091"/>
    <w:rsid w:val="00D34795"/>
    <w:rsid w:val="00D470DC"/>
    <w:rsid w:val="00D82DBB"/>
    <w:rsid w:val="00D87245"/>
    <w:rsid w:val="00D9105E"/>
    <w:rsid w:val="00D9744D"/>
    <w:rsid w:val="00DC1840"/>
    <w:rsid w:val="00DC51F2"/>
    <w:rsid w:val="00DD14F8"/>
    <w:rsid w:val="00DD19D2"/>
    <w:rsid w:val="00DD2D7F"/>
    <w:rsid w:val="00DE295B"/>
    <w:rsid w:val="00DF16A8"/>
    <w:rsid w:val="00E0086A"/>
    <w:rsid w:val="00E01876"/>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3863</Words>
  <Characters>24823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Pracownik-MO</cp:lastModifiedBy>
  <cp:revision>3</cp:revision>
  <cp:lastPrinted>2020-12-02T13:46:00Z</cp:lastPrinted>
  <dcterms:created xsi:type="dcterms:W3CDTF">2021-02-10T13:52:00Z</dcterms:created>
  <dcterms:modified xsi:type="dcterms:W3CDTF">2021-02-11T14:03:00Z</dcterms:modified>
</cp:coreProperties>
</file>