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53" w:rsidRDefault="00B15E53" w:rsidP="00B15E53">
      <w:pPr>
        <w:rPr>
          <w:rFonts w:eastAsia="Times New Roman"/>
          <w:sz w:val="18"/>
          <w:szCs w:val="18"/>
        </w:rPr>
      </w:pPr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556329">
        <w:rPr>
          <w:rFonts w:eastAsia="Times New Roman"/>
          <w:b/>
          <w:bCs/>
        </w:rPr>
        <w:t>8</w:t>
      </w:r>
      <w:r w:rsidR="00E64345">
        <w:rPr>
          <w:rFonts w:eastAsia="Times New Roman"/>
          <w:b/>
          <w:bCs/>
        </w:rPr>
        <w:t>/ZO/201</w:t>
      </w:r>
      <w:r w:rsidR="004838D9">
        <w:rPr>
          <w:rFonts w:eastAsia="Times New Roman"/>
          <w:b/>
          <w:bCs/>
        </w:rPr>
        <w:t>9</w:t>
      </w:r>
      <w:r>
        <w:rPr>
          <w:sz w:val="22"/>
          <w:szCs w:val="22"/>
        </w:rPr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20</w:t>
      </w:r>
      <w:r w:rsidR="004838D9">
        <w:rPr>
          <w:b/>
          <w:bCs/>
        </w:rPr>
        <w:t>20</w:t>
      </w:r>
      <w:r w:rsidR="00556329">
        <w:rPr>
          <w:b/>
          <w:bCs/>
        </w:rPr>
        <w:t xml:space="preserve">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0"/>
      <w:bookmarkEnd w:id="1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</w:t>
      </w:r>
      <w:r w:rsidR="004838D9">
        <w:rPr>
          <w:b/>
        </w:rPr>
        <w:t>20</w:t>
      </w:r>
      <w:r w:rsidR="00144879">
        <w:t xml:space="preserve"> </w:t>
      </w:r>
      <w:r>
        <w:t xml:space="preserve">do dnia:  </w:t>
      </w:r>
      <w:r w:rsidR="00E64345">
        <w:rPr>
          <w:b/>
        </w:rPr>
        <w:t>31.12.20</w:t>
      </w:r>
      <w:r w:rsidR="004838D9">
        <w:rPr>
          <w:b/>
        </w:rPr>
        <w:t>20</w:t>
      </w:r>
      <w:bookmarkStart w:id="2" w:name="_GoBack"/>
      <w:bookmarkEnd w:id="2"/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:rsidTr="00FA4155">
        <w:trPr>
          <w:trHeight w:val="713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:rsidTr="00FA4155">
        <w:trPr>
          <w:trHeight w:val="41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Przywrócenie sprawności punktu świetlnego ze źródłem światła sodowym lub rtęciowym w oprawach oświetlenia drogowego lub parkowego z wyłączeniem wymiany układu redukcji mocy ELBALL.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6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klosza/pokrywy/daszka oprawy sodowej lub rtęciowej podczas wykonywania czynności z poz. 1,2 lub 5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montaż sodowej oprawy ulicznej lub parkowej o mocy od 50 do 150W z wyłączeniem opraw stylowych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92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3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:rsidR="00144879" w:rsidRDefault="00144879" w:rsidP="00144879">
      <w:pPr>
        <w:jc w:val="both"/>
        <w:rPr>
          <w:sz w:val="22"/>
          <w:szCs w:val="22"/>
        </w:rPr>
      </w:pP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0ED27" wp14:editId="05E6CF6E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0332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75C6" wp14:editId="46A2D2FE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CDE27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:rsidR="00036FA5" w:rsidRDefault="00036FA5" w:rsidP="00B15E53">
      <w:pPr>
        <w:pStyle w:val="Akapitzlist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lastRenderedPageBreak/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RPr="00B901BE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5B6DD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:rsidR="00B15E53" w:rsidRPr="00B901BE" w:rsidRDefault="00B15E53" w:rsidP="005B6DD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rPr>
                <w:b/>
              </w:rPr>
            </w:pPr>
          </w:p>
        </w:tc>
      </w:tr>
      <w:tr w:rsidR="00B15E53" w:rsidTr="005B6DD6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3CD" w:rsidRDefault="002903CD" w:rsidP="007B6FA4">
      <w:r>
        <w:separator/>
      </w:r>
    </w:p>
  </w:endnote>
  <w:endnote w:type="continuationSeparator" w:id="0">
    <w:p w:rsidR="002903CD" w:rsidRDefault="002903CD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3CD" w:rsidRDefault="002903CD" w:rsidP="007B6FA4">
      <w:r>
        <w:separator/>
      </w:r>
    </w:p>
  </w:footnote>
  <w:footnote w:type="continuationSeparator" w:id="0">
    <w:p w:rsidR="002903CD" w:rsidRDefault="002903CD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E53"/>
    <w:rsid w:val="00036FA5"/>
    <w:rsid w:val="00144879"/>
    <w:rsid w:val="002903CD"/>
    <w:rsid w:val="003B6860"/>
    <w:rsid w:val="004838D9"/>
    <w:rsid w:val="00556329"/>
    <w:rsid w:val="00660F52"/>
    <w:rsid w:val="00665D16"/>
    <w:rsid w:val="007B6FA4"/>
    <w:rsid w:val="007D1D5F"/>
    <w:rsid w:val="00AA1A2E"/>
    <w:rsid w:val="00AA3495"/>
    <w:rsid w:val="00B15E53"/>
    <w:rsid w:val="00B901BE"/>
    <w:rsid w:val="00D140EC"/>
    <w:rsid w:val="00E64345"/>
    <w:rsid w:val="00EC0A59"/>
    <w:rsid w:val="00FA4155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F4FD"/>
  <w15:docId w15:val="{24E1F563-EFAC-4DF6-9DE9-52C080DD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Pracownik-LR</cp:lastModifiedBy>
  <cp:revision>13</cp:revision>
  <dcterms:created xsi:type="dcterms:W3CDTF">2014-07-16T08:11:00Z</dcterms:created>
  <dcterms:modified xsi:type="dcterms:W3CDTF">2019-11-07T08:58:00Z</dcterms:modified>
</cp:coreProperties>
</file>